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DF11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40" w:lineRule="exact"/>
        <w:textAlignment w:val="auto"/>
      </w:pPr>
      <w:bookmarkStart w:id="43" w:name="_GoBack"/>
      <w:bookmarkStart w:id="0" w:name="_Toc11749"/>
      <w:bookmarkStart w:id="1" w:name="_Toc14434"/>
      <w:bookmarkStart w:id="2" w:name="_Toc25740"/>
      <w:r>
        <w:rPr>
          <w:rFonts w:hint="eastAsia"/>
        </w:rPr>
        <w:t>广东碧桂园职业学院关于鼓励大学生入伍</w:t>
      </w:r>
      <w:r>
        <w:rPr>
          <w:rFonts w:hint="eastAsia"/>
        </w:rPr>
        <w:br w:type="textWrapping"/>
      </w:r>
      <w:r>
        <w:rPr>
          <w:rFonts w:hint="eastAsia"/>
        </w:rPr>
        <w:t>实施办法</w:t>
      </w:r>
      <w:bookmarkEnd w:id="0"/>
      <w:bookmarkEnd w:id="1"/>
      <w:bookmarkEnd w:id="2"/>
      <w:bookmarkEnd w:id="43"/>
    </w:p>
    <w:p w14:paraId="75D739B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r>
        <w:t>为贯彻落实财政部、教育部、人力资源社会保障部、退役军人部、中央军委国防动员部关于印发《学生资助资金管理办法》的通知(财教〔2021〕310号),以及中共广东省委教育工委、广东省教育厅《关于进一步做好高校学生参军入伍工作的通知》(粤教工委〔2019〕5号)的文件精神和要求，更好地鼓励我校大学生积极参军入伍，在执行国家、省、市对大学生应征入伍现有优待政策的基础上，现修订我校鼓励大学生入伍实施办法。</w:t>
      </w:r>
    </w:p>
    <w:p w14:paraId="10A95B5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3" w:firstLineChars="1000"/>
        <w:jc w:val="both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bookmarkStart w:id="3" w:name="_Toc32371"/>
      <w:bookmarkStart w:id="4" w:name="_Toc10648"/>
      <w:bookmarkStart w:id="5" w:name="_Toc335"/>
      <w:bookmarkStart w:id="6" w:name="_Toc30932"/>
      <w:r>
        <w:rPr>
          <w:rFonts w:hint="eastAsia" w:ascii="Times New Roman" w:hAnsi="Times New Roman" w:eastAsia="宋体" w:cs="Times New Roman"/>
          <w:lang w:val="en-US" w:eastAsia="zh-CN"/>
        </w:rPr>
        <w:t>第一章  学业安排</w:t>
      </w:r>
      <w:bookmarkEnd w:id="3"/>
      <w:bookmarkEnd w:id="4"/>
      <w:bookmarkEnd w:id="5"/>
      <w:bookmarkEnd w:id="6"/>
    </w:p>
    <w:p w14:paraId="1D1513B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bookmarkStart w:id="7" w:name="_Toc8719"/>
      <w:bookmarkStart w:id="8" w:name="_Toc26706"/>
      <w:bookmarkStart w:id="9" w:name="_Toc24806"/>
      <w:r>
        <w:t xml:space="preserve">第一条 </w:t>
      </w:r>
      <w:r>
        <w:rPr>
          <w:rFonts w:hint="eastAsia"/>
          <w:lang w:val="en-US" w:eastAsia="zh-CN"/>
        </w:rPr>
        <w:t xml:space="preserve"> </w:t>
      </w:r>
      <w:r>
        <w:t>免修课程</w:t>
      </w:r>
      <w:bookmarkEnd w:id="7"/>
      <w:bookmarkEnd w:id="8"/>
      <w:bookmarkEnd w:id="9"/>
    </w:p>
    <w:p w14:paraId="537D4F3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r>
        <w:t>我校全日制在校生(含新生)参军入伍退役后复学或入学，可免修体育、军事技能、军事理论以及相关公共选修课程，记入不低于良好以上成绩。岗位实习成绩根据学生服役期间的表现进行评定。</w:t>
      </w:r>
    </w:p>
    <w:p w14:paraId="351F307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r>
        <w:t>第二条</w:t>
      </w:r>
      <w:r>
        <w:rPr>
          <w:rFonts w:hint="eastAsia"/>
          <w:lang w:val="en-US" w:eastAsia="zh-CN"/>
        </w:rPr>
        <w:t xml:space="preserve"> </w:t>
      </w:r>
      <w:r>
        <w:t xml:space="preserve"> 放宽退役大学生士兵复学转专业限制我校全日制在校生(含新生)退役复学后，按学校转专业规定在当年开放转专业范围内，不受成绩限制，优先转入本校其他专业学习。</w:t>
      </w:r>
    </w:p>
    <w:p w14:paraId="11FCE51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bookmarkStart w:id="10" w:name="_Toc29640"/>
      <w:bookmarkStart w:id="11" w:name="_Toc13751"/>
      <w:bookmarkStart w:id="12" w:name="_Toc14409"/>
      <w:r>
        <w:t xml:space="preserve">第三条 </w:t>
      </w:r>
      <w:r>
        <w:rPr>
          <w:rFonts w:hint="eastAsia"/>
          <w:lang w:val="en-US" w:eastAsia="zh-CN"/>
        </w:rPr>
        <w:t xml:space="preserve"> </w:t>
      </w:r>
      <w:r>
        <w:t>复学优待</w:t>
      </w:r>
      <w:bookmarkEnd w:id="10"/>
      <w:bookmarkEnd w:id="11"/>
      <w:bookmarkEnd w:id="12"/>
    </w:p>
    <w:p w14:paraId="15B4799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r>
        <w:t>三年制学生第四学期结束后入伍，表现优秀需留队继续服役的，在服役满两年后可向学校申请办理复学手续，通过网络自学、学分认定等方式在最长学习年限内达到毕业条件的可颁发毕业证。</w:t>
      </w:r>
    </w:p>
    <w:p w14:paraId="1A5E0ED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bookmarkStart w:id="13" w:name="_Toc21958"/>
      <w:bookmarkStart w:id="14" w:name="_Toc14575"/>
      <w:bookmarkStart w:id="15" w:name="_Toc24300"/>
      <w:r>
        <w:t>第四条</w:t>
      </w:r>
      <w:r>
        <w:rPr>
          <w:rFonts w:hint="eastAsia"/>
          <w:lang w:val="en-US" w:eastAsia="zh-CN"/>
        </w:rPr>
        <w:t xml:space="preserve"> </w:t>
      </w:r>
      <w:r>
        <w:t xml:space="preserve"> 毕业班学生入伍优待</w:t>
      </w:r>
      <w:bookmarkEnd w:id="13"/>
      <w:bookmarkEnd w:id="14"/>
      <w:bookmarkEnd w:id="15"/>
    </w:p>
    <w:p w14:paraId="71101E1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r>
        <w:t>毕业班学生春季入伍服现役视为完成毕业(岗位)实习项目，凡经学校审核达到毕业条件的，按省教育厅下发相关文件精神要求，可在学制规定的时间内按学校规定的程序完成毕业设计、实习任务书等，如期颁发毕业证书。</w:t>
      </w:r>
    </w:p>
    <w:p w14:paraId="3C9635F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34" w:firstLineChars="1100"/>
        <w:jc w:val="both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bookmarkStart w:id="16" w:name="_Toc9487"/>
      <w:bookmarkStart w:id="17" w:name="_Toc1438"/>
      <w:bookmarkStart w:id="18" w:name="_Toc14216"/>
      <w:bookmarkStart w:id="19" w:name="_Toc23297"/>
      <w:r>
        <w:rPr>
          <w:rFonts w:hint="eastAsia" w:ascii="Times New Roman" w:hAnsi="Times New Roman" w:eastAsia="宋体" w:cs="Times New Roman"/>
          <w:lang w:val="en-US" w:eastAsia="zh-CN"/>
        </w:rPr>
        <w:t>第二章  表彰奖励</w:t>
      </w:r>
      <w:bookmarkEnd w:id="16"/>
      <w:bookmarkEnd w:id="17"/>
      <w:bookmarkEnd w:id="18"/>
      <w:bookmarkEnd w:id="19"/>
    </w:p>
    <w:p w14:paraId="66C624A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bookmarkStart w:id="20" w:name="_Toc30632"/>
      <w:bookmarkStart w:id="21" w:name="_Toc27537"/>
      <w:bookmarkStart w:id="22" w:name="_Toc15167"/>
      <w:r>
        <w:t xml:space="preserve">第五条 </w:t>
      </w:r>
      <w:r>
        <w:rPr>
          <w:rFonts w:hint="eastAsia"/>
          <w:lang w:val="en-US" w:eastAsia="zh-CN"/>
        </w:rPr>
        <w:t xml:space="preserve"> </w:t>
      </w:r>
      <w:r>
        <w:t>学费补偿</w:t>
      </w:r>
      <w:bookmarkEnd w:id="20"/>
      <w:bookmarkEnd w:id="21"/>
      <w:bookmarkEnd w:id="22"/>
    </w:p>
    <w:p w14:paraId="725B151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r>
        <w:t>学费补偿、国家助学贷款代偿及学费减免标准，全日制本专科学生每人每年最高不超过16000元。</w:t>
      </w:r>
    </w:p>
    <w:p w14:paraId="394BD63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bookmarkStart w:id="23" w:name="_Toc13439"/>
      <w:bookmarkStart w:id="24" w:name="_Toc3162"/>
      <w:bookmarkStart w:id="25" w:name="_Toc29370"/>
      <w:r>
        <w:t xml:space="preserve">第六条 </w:t>
      </w:r>
      <w:r>
        <w:rPr>
          <w:rFonts w:hint="eastAsia"/>
          <w:lang w:val="en-US" w:eastAsia="zh-CN"/>
        </w:rPr>
        <w:t xml:space="preserve"> </w:t>
      </w:r>
      <w:r>
        <w:t>参军入伍鼓励</w:t>
      </w:r>
      <w:bookmarkEnd w:id="23"/>
      <w:bookmarkEnd w:id="24"/>
      <w:bookmarkEnd w:id="25"/>
    </w:p>
    <w:p w14:paraId="65153B8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r>
        <w:t>从学校报名应征的，在上站体检、政审、役前教育训练期间给予全程保障。为鼓励青年学子保家卫国，投身国防事业中，学校对应征入伍学生设置奖励金。对入伍的学生(包括在学校入伍和生源地入伍)每人奖励500元。</w:t>
      </w:r>
    </w:p>
    <w:p w14:paraId="30A3B4E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bookmarkStart w:id="26" w:name="_Toc32574"/>
      <w:bookmarkStart w:id="27" w:name="_Toc29380"/>
      <w:bookmarkStart w:id="28" w:name="_Toc7393"/>
      <w:r>
        <w:t xml:space="preserve">第七条 </w:t>
      </w:r>
      <w:r>
        <w:rPr>
          <w:rFonts w:hint="eastAsia"/>
          <w:lang w:val="en-US" w:eastAsia="zh-CN"/>
        </w:rPr>
        <w:t xml:space="preserve"> </w:t>
      </w:r>
      <w:r>
        <w:t>立功授奖</w:t>
      </w:r>
      <w:bookmarkEnd w:id="26"/>
      <w:bookmarkEnd w:id="27"/>
      <w:bookmarkEnd w:id="28"/>
    </w:p>
    <w:p w14:paraId="30BA105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</w:pPr>
      <w:r>
        <w:t>参军入伍的学生服现役期间立功受奖和被评为“四有”优秀士兵给予一次性奖励。荣立个人一等功的奖励5000元、荣立个人二等功的奖励3000元、荣立个人三等功的奖励2000元、荣获“四有”优秀士兵的奖励1000元。战时立功的纳入学校凤凰奖学金“校长特别奖”给予奖励。同年度内多次立功受奖者按最高奖励等级发放奖金。</w:t>
      </w:r>
    </w:p>
    <w:p w14:paraId="7686C44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3" w:firstLineChars="1000"/>
        <w:jc w:val="both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bookmarkStart w:id="29" w:name="_Toc214"/>
      <w:bookmarkStart w:id="30" w:name="_Toc21593"/>
      <w:bookmarkStart w:id="31" w:name="_Toc2615"/>
      <w:bookmarkStart w:id="32" w:name="_Toc12412"/>
      <w:r>
        <w:rPr>
          <w:rFonts w:hint="eastAsia" w:ascii="Times New Roman" w:hAnsi="Times New Roman" w:eastAsia="宋体" w:cs="Times New Roman"/>
          <w:lang w:val="en-US" w:eastAsia="zh-CN"/>
        </w:rPr>
        <w:t>第三章  政治鼓励</w:t>
      </w:r>
      <w:bookmarkEnd w:id="29"/>
      <w:bookmarkEnd w:id="30"/>
      <w:bookmarkEnd w:id="31"/>
      <w:bookmarkEnd w:id="32"/>
    </w:p>
    <w:p w14:paraId="1F4C0F9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textAlignment w:val="auto"/>
      </w:pPr>
      <w:bookmarkStart w:id="33" w:name="_Toc26035"/>
      <w:bookmarkStart w:id="34" w:name="_Toc19228"/>
      <w:bookmarkStart w:id="35" w:name="_Toc3237"/>
      <w:r>
        <w:t>第八条 毕业班学生春季入伍服役，在入伍时全部成绩合格的，授予“优秀毕业生”称号。</w:t>
      </w:r>
      <w:bookmarkEnd w:id="33"/>
      <w:bookmarkEnd w:id="34"/>
      <w:bookmarkEnd w:id="35"/>
    </w:p>
    <w:p w14:paraId="430D471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textAlignment w:val="auto"/>
      </w:pPr>
      <w:r>
        <w:t xml:space="preserve">第九条 </w:t>
      </w:r>
      <w:r>
        <w:rPr>
          <w:rFonts w:hint="eastAsia"/>
          <w:lang w:val="en-US" w:eastAsia="zh-CN"/>
        </w:rPr>
        <w:t xml:space="preserve"> </w:t>
      </w:r>
      <w:r>
        <w:t>学生退役(入学)复学后，学校对其进行重点学业指导和帮扶；优先安排参加校内勤工助学工作；优先安排担任</w:t>
      </w:r>
      <w:r>
        <w:rPr>
          <w:rFonts w:hint="eastAsia"/>
          <w:lang w:eastAsia="zh-CN"/>
        </w:rPr>
        <w:t>学生骨干</w:t>
      </w:r>
      <w:r>
        <w:t>；在选拔学校国旗护卫队队员、铁军连教官助理等方面同等条件下优先录用；优先推荐就业；条件相当情况下，发展党员时，优先发展；条件相当情况下，评先奖优时，优先考虑。</w:t>
      </w:r>
    </w:p>
    <w:p w14:paraId="595797A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textAlignment w:val="auto"/>
        <w:rPr>
          <w:rFonts w:hint="eastAsia" w:eastAsia="宋体"/>
          <w:lang w:eastAsia="zh-CN"/>
        </w:rPr>
      </w:pPr>
      <w:r>
        <w:t>第十条</w:t>
      </w:r>
      <w:r>
        <w:rPr>
          <w:rFonts w:hint="eastAsia"/>
          <w:lang w:val="en-US" w:eastAsia="zh-CN"/>
        </w:rPr>
        <w:t xml:space="preserve"> </w:t>
      </w:r>
      <w:r>
        <w:t xml:space="preserve"> 辅导员要做好大学生参军入伍工作的宣传动员、组织报名、入伍各项流程相关保障工作。对所带毕业生入伍率排名前20%的辅导员授予“征兵工作先进个人”称号，并发放奖企金。</w:t>
      </w:r>
    </w:p>
    <w:p w14:paraId="4545878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34" w:firstLineChars="1100"/>
        <w:jc w:val="both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bookmarkStart w:id="36" w:name="_Toc570"/>
      <w:bookmarkStart w:id="37" w:name="_Toc2984"/>
      <w:bookmarkStart w:id="38" w:name="_Toc20700"/>
      <w:bookmarkStart w:id="39" w:name="_Toc23697"/>
      <w:r>
        <w:rPr>
          <w:rFonts w:hint="eastAsia" w:ascii="Times New Roman" w:hAnsi="Times New Roman" w:eastAsia="宋体" w:cs="Times New Roman"/>
          <w:lang w:val="en-US" w:eastAsia="zh-CN"/>
        </w:rPr>
        <w:t>第四章  人文关怀</w:t>
      </w:r>
      <w:bookmarkEnd w:id="36"/>
      <w:bookmarkEnd w:id="37"/>
      <w:bookmarkEnd w:id="38"/>
      <w:bookmarkEnd w:id="39"/>
    </w:p>
    <w:p w14:paraId="4D30075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textAlignment w:val="auto"/>
      </w:pPr>
      <w:r>
        <w:t>第十一条 学生入伍义务兵两年内，每逢春节，学校武装部给入伍青年家长寄送新春对联等慰问品。</w:t>
      </w:r>
    </w:p>
    <w:p w14:paraId="41E6BD5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55" w:firstLineChars="1200"/>
        <w:jc w:val="both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第五章  附 则</w:t>
      </w:r>
    </w:p>
    <w:p w14:paraId="03C4018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textAlignment w:val="auto"/>
      </w:pPr>
      <w:bookmarkStart w:id="40" w:name="_Toc217"/>
      <w:bookmarkStart w:id="41" w:name="_Toc2774"/>
      <w:bookmarkStart w:id="42" w:name="_Toc32279"/>
      <w:r>
        <w:t>第十二条 本办法自颁布之日起实施，由学校党委武装部负责解释。</w:t>
      </w:r>
      <w:bookmarkEnd w:id="40"/>
      <w:bookmarkEnd w:id="41"/>
      <w:bookmarkEnd w:id="42"/>
    </w:p>
    <w:p w14:paraId="001B9F4C">
      <w:pPr>
        <w:numPr>
          <w:ilvl w:val="0"/>
          <w:numId w:val="0"/>
        </w:numPr>
        <w:spacing w:before="101" w:line="227" w:lineRule="auto"/>
        <w:rPr>
          <w:rFonts w:ascii="黑体" w:hAnsi="黑体" w:eastAsia="黑体" w:cs="黑体"/>
          <w:spacing w:val="1"/>
          <w:sz w:val="31"/>
          <w:szCs w:val="31"/>
        </w:rPr>
      </w:pPr>
    </w:p>
    <w:sectPr>
      <w:footerReference r:id="rId5" w:type="default"/>
      <w:type w:val="continuous"/>
      <w:pgSz w:w="11907" w:h="16841"/>
      <w:pgMar w:top="1431" w:right="1250" w:bottom="1682" w:left="1120" w:header="0" w:footer="1412" w:gutter="0"/>
      <w:cols w:equalWidth="0" w:num="1">
        <w:col w:w="953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F4F5D">
    <w:pPr>
      <w:pStyle w:val="4"/>
      <w:spacing w:before="1" w:line="171" w:lineRule="auto"/>
      <w:ind w:left="219"/>
      <w:rPr>
        <w:sz w:val="28"/>
        <w:szCs w:val="28"/>
      </w:rPr>
    </w:pPr>
    <w:r>
      <w:rPr>
        <w:spacing w:val="-7"/>
        <w:sz w:val="28"/>
        <w:szCs w:val="28"/>
      </w:rPr>
      <w:t>—</w:t>
    </w:r>
    <w:r>
      <w:rPr>
        <w:spacing w:val="1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7"/>
        <w:sz w:val="28"/>
        <w:szCs w:val="28"/>
      </w:rPr>
      <w:t>9</w:t>
    </w:r>
    <w:r>
      <w:rPr>
        <w:rFonts w:ascii="Times New Roman" w:hAnsi="Times New Roman" w:eastAsia="Times New Roman" w:cs="Times New Roman"/>
        <w:spacing w:val="3"/>
        <w:sz w:val="28"/>
        <w:szCs w:val="28"/>
      </w:rPr>
      <w:t xml:space="preserve">  </w:t>
    </w:r>
    <w:r>
      <w:rPr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FlMDkzMWQ2YjQ3MGQ1ZTE3YjI0YjVlNTM0YTYwMzIifQ=="/>
  </w:docVars>
  <w:rsids>
    <w:rsidRoot w:val="00000000"/>
    <w:rsid w:val="056B0CD4"/>
    <w:rsid w:val="05B20477"/>
    <w:rsid w:val="262921D8"/>
    <w:rsid w:val="26BE5080"/>
    <w:rsid w:val="2FE15E6F"/>
    <w:rsid w:val="55C87D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="Calibri" w:hAnsi="Calibri" w:eastAsia="宋体" w:cs="Times New Roman"/>
      <w:b/>
      <w:bCs/>
      <w:color w:val="000000"/>
      <w:kern w:val="44"/>
      <w:sz w:val="44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rFonts w:ascii="Times New Roman" w:hAnsi="Times New Roman" w:eastAsia="宋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碧正文"/>
    <w:basedOn w:val="1"/>
    <w:qFormat/>
    <w:uiPriority w:val="0"/>
    <w:pPr>
      <w:widowControl/>
      <w:spacing w:beforeAutospacing="1" w:afterAutospacing="1" w:line="480" w:lineRule="exact"/>
      <w:ind w:firstLine="480" w:firstLineChars="200"/>
      <w:jc w:val="left"/>
    </w:pPr>
    <w:rPr>
      <w:rFonts w:hint="eastAsia" w:ascii="宋体" w:hAnsi="宋体" w:cs="宋体"/>
      <w:bCs/>
      <w:color w:val="000000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626</Words>
  <Characters>634</Characters>
  <TotalTime>0</TotalTime>
  <ScaleCrop>false</ScaleCrop>
  <LinksUpToDate>false</LinksUpToDate>
  <CharactersWithSpaces>651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2021-09-18T17:20:00Z</dcterms:created>
  <dc:creator>xb21cn</dc:creator>
  <cp:lastModifiedBy> Superman</cp:lastModifiedBy>
  <dcterms:modified xsi:type="dcterms:W3CDTF">2026-11-04T02:06:27Z</dcterms:modified>
  <dc:title>广东碧桂园职业学院文件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2023-11-08T10:14:12Z</vt:filetime>
  </property>
  <property fmtid="{D5CDD505-2E9C-101B-9397-08002B2CF9AE}" pid="4" name="KSOProductBuildVer">
    <vt:lpwstr>2052-12.1.0.29161</vt:lpwstr>
  </property>
  <property fmtid="{D5CDD505-2E9C-101B-9397-08002B2CF9AE}" pid="5" name="ICV">
    <vt:lpwstr>BB370E4EBE3F4B0EAF88BEFC6C505662_13</vt:lpwstr>
  </property>
  <property fmtid="{D5CDD505-2E9C-101B-9397-08002B2CF9AE}" pid="6" name="KSOTemplateDocerSaveRecord">
    <vt:lpwstr>eyJoZGlkIjoiZDYxZmVmMDhhOTFlMjEyNmQ1ODU0YTQwZjBhMGQ0MmYiLCJ1c2VySWQiOiIyMDg3MDUyNzgifQ==</vt:lpwstr>
  </property>
</Properties>
</file>