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A98FBC">
      <w:pPr>
        <w:pStyle w:val="2"/>
        <w:keepNext/>
        <w:keepLines/>
        <w:pageBreakBefore w:val="0"/>
        <w:widowControl w:val="0"/>
        <w:kinsoku/>
        <w:wordWrap/>
        <w:overflowPunct/>
        <w:topLinePunct w:val="0"/>
        <w:autoSpaceDE/>
        <w:autoSpaceDN/>
        <w:bidi w:val="0"/>
        <w:adjustRightInd w:val="0"/>
        <w:snapToGrid w:val="0"/>
        <w:spacing w:before="0" w:after="0" w:line="640" w:lineRule="exact"/>
        <w:textAlignment w:val="auto"/>
      </w:pPr>
      <w:bookmarkStart w:id="0" w:name="_Toc28647"/>
      <w:bookmarkStart w:id="1" w:name="_Toc19249"/>
      <w:bookmarkStart w:id="2" w:name="_Toc21118"/>
      <w:bookmarkStart w:id="3" w:name="_Toc6497"/>
      <w:bookmarkStart w:id="69" w:name="_GoBack"/>
      <w:r>
        <w:t>广东碧桂园职业学院退役士兵教育资助</w:t>
      </w:r>
      <w:r>
        <w:br w:type="textWrapping"/>
      </w:r>
      <w:r>
        <w:t>管理办法</w:t>
      </w:r>
      <w:bookmarkEnd w:id="0"/>
      <w:bookmarkEnd w:id="1"/>
      <w:bookmarkEnd w:id="2"/>
      <w:bookmarkEnd w:id="3"/>
    </w:p>
    <w:bookmarkEnd w:id="69"/>
    <w:p w14:paraId="23FAAF3C">
      <w:pPr>
        <w:pStyle w:val="3"/>
        <w:keepNext/>
        <w:keepLines/>
        <w:pageBreakBefore w:val="0"/>
        <w:widowControl w:val="0"/>
        <w:kinsoku/>
        <w:wordWrap/>
        <w:overflowPunct/>
        <w:topLinePunct w:val="0"/>
        <w:autoSpaceDE/>
        <w:autoSpaceDN/>
        <w:bidi w:val="0"/>
        <w:adjustRightInd/>
        <w:snapToGrid/>
        <w:spacing w:line="560" w:lineRule="exact"/>
        <w:ind w:firstLine="3534" w:firstLineChars="1100"/>
        <w:jc w:val="both"/>
        <w:textAlignment w:val="auto"/>
        <w:rPr>
          <w:rFonts w:hint="eastAsia" w:ascii="Times New Roman" w:hAnsi="Times New Roman" w:eastAsia="宋体" w:cs="Times New Roman"/>
          <w:lang w:val="en-US" w:eastAsia="zh-CN"/>
        </w:rPr>
      </w:pPr>
      <w:bookmarkStart w:id="4" w:name="_Toc9017"/>
      <w:bookmarkStart w:id="5" w:name="_Toc22355"/>
      <w:bookmarkStart w:id="6" w:name="_Toc285"/>
      <w:bookmarkStart w:id="7" w:name="_Toc7758"/>
      <w:r>
        <w:rPr>
          <w:rFonts w:hint="eastAsia" w:ascii="Times New Roman" w:hAnsi="Times New Roman" w:eastAsia="宋体" w:cs="Times New Roman"/>
          <w:lang w:val="en-US" w:eastAsia="zh-CN"/>
        </w:rPr>
        <w:t>第一章 总   则</w:t>
      </w:r>
      <w:bookmarkEnd w:id="4"/>
      <w:bookmarkEnd w:id="5"/>
      <w:bookmarkEnd w:id="6"/>
      <w:bookmarkEnd w:id="7"/>
    </w:p>
    <w:p w14:paraId="226DE5F2">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t>第一条  为帮助退役士兵在我校顺利完成学业，规范退役士兵资助项目的申请、发放和管理工作，根据财政部、教育部、人力资源社会保障部、退役军人部、中央军委国防动员部关于印发〈学生资助资金管理办法〉的通知》（财科教〔2019〕19号）及《关于广东省促进退役军人就业创业若干政策措施的通知》(粤府办〔2020〕7号)有关规定，结合我校实际情况，特制定本办法。</w:t>
      </w:r>
    </w:p>
    <w:p w14:paraId="175BE22D">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t>第二条  本办法所称的退役士兵教育资助项目，是指退役一年以上，考入我校攻读全日制专科学历的自主就业退役士兵，到校报到注册后，由本人自愿提出申请，可获得教育资助。资助资金全部由中央财政承担。</w:t>
      </w:r>
    </w:p>
    <w:p w14:paraId="0C92CE93">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bookmarkStart w:id="8" w:name="_Toc7298"/>
      <w:bookmarkStart w:id="9" w:name="_Toc13193"/>
      <w:bookmarkStart w:id="10" w:name="_Toc3924"/>
      <w:r>
        <w:t>第三条  退役士兵教育资助项目的管理坚持“实事求是、公</w:t>
      </w:r>
      <w:bookmarkEnd w:id="8"/>
      <w:bookmarkEnd w:id="9"/>
      <w:bookmarkEnd w:id="10"/>
      <w:r>
        <w:t>开透明、专款专用”的原则。</w:t>
      </w:r>
    </w:p>
    <w:p w14:paraId="08A8D07C">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bookmarkStart w:id="11" w:name="_Toc23810"/>
      <w:bookmarkStart w:id="12" w:name="_Toc27185"/>
      <w:bookmarkStart w:id="13" w:name="_Toc18197"/>
      <w:r>
        <w:t>第四条  退役士兵获得教育资助后，其他资助政策按我校现</w:t>
      </w:r>
      <w:bookmarkEnd w:id="11"/>
      <w:bookmarkEnd w:id="12"/>
      <w:bookmarkEnd w:id="13"/>
      <w:r>
        <w:t>行学生资助政策规定执行。</w:t>
      </w:r>
    </w:p>
    <w:p w14:paraId="3CF1EB2A">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bookmarkStart w:id="14" w:name="_Toc31738"/>
      <w:bookmarkStart w:id="15" w:name="_Toc18120"/>
      <w:bookmarkStart w:id="16" w:name="_Toc22304"/>
      <w:r>
        <w:t>第五条  我校学生工作处（学生资助管理中心）负责退役士</w:t>
      </w:r>
      <w:bookmarkEnd w:id="14"/>
      <w:bookmarkEnd w:id="15"/>
      <w:bookmarkEnd w:id="16"/>
      <w:r>
        <w:t>兵教育资助的申请及相关管理工作。</w:t>
      </w:r>
    </w:p>
    <w:p w14:paraId="6AFEA4BD">
      <w:pPr>
        <w:pStyle w:val="3"/>
        <w:keepNext/>
        <w:keepLines/>
        <w:pageBreakBefore w:val="0"/>
        <w:widowControl w:val="0"/>
        <w:kinsoku/>
        <w:wordWrap/>
        <w:overflowPunct/>
        <w:topLinePunct w:val="0"/>
        <w:autoSpaceDE/>
        <w:autoSpaceDN/>
        <w:bidi w:val="0"/>
        <w:adjustRightInd/>
        <w:snapToGrid/>
        <w:spacing w:line="560" w:lineRule="exact"/>
        <w:ind w:firstLine="2570" w:firstLineChars="800"/>
        <w:jc w:val="both"/>
        <w:textAlignment w:val="auto"/>
        <w:rPr>
          <w:rFonts w:hint="eastAsia" w:ascii="Times New Roman" w:hAnsi="Times New Roman" w:eastAsia="宋体" w:cs="Times New Roman"/>
          <w:lang w:val="en-US" w:eastAsia="zh-CN"/>
        </w:rPr>
      </w:pPr>
      <w:bookmarkStart w:id="17" w:name="_Toc11626"/>
      <w:bookmarkStart w:id="18" w:name="_Toc10333"/>
      <w:bookmarkStart w:id="19" w:name="_Toc3034"/>
      <w:bookmarkStart w:id="20" w:name="_Toc6484"/>
      <w:r>
        <w:rPr>
          <w:rFonts w:hint="eastAsia" w:ascii="Times New Roman" w:hAnsi="Times New Roman" w:eastAsia="宋体" w:cs="Times New Roman"/>
          <w:lang w:val="en-US" w:eastAsia="zh-CN"/>
        </w:rPr>
        <w:t>第二章 资助的范围、对象和标准</w:t>
      </w:r>
      <w:bookmarkEnd w:id="17"/>
      <w:bookmarkEnd w:id="18"/>
      <w:bookmarkEnd w:id="19"/>
      <w:bookmarkEnd w:id="20"/>
    </w:p>
    <w:p w14:paraId="73408F59">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t>第六条  退役士兵教育资助范围与对象为退役一年以上，自主就业，通过全国统一高考或高职单招考入学校的在校生，实施学费减免。“退役一年以上”是指以退役时间至学生报到入学时间来计算，时间间隔在12个月（含）以上为退役一年以上。</w:t>
      </w:r>
    </w:p>
    <w:p w14:paraId="3C934667">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t>下列学生不能享受国家退役士兵教育学费资助政策：</w:t>
      </w:r>
    </w:p>
    <w:p w14:paraId="0A44D960">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rPr>
          <w:rFonts w:hint="eastAsia"/>
          <w:lang w:eastAsia="zh-CN"/>
        </w:rPr>
        <w:t>（</w:t>
      </w:r>
      <w:r>
        <w:rPr>
          <w:rFonts w:hint="eastAsia"/>
          <w:lang w:val="en-US" w:eastAsia="zh-CN"/>
        </w:rPr>
        <w:t>一</w:t>
      </w:r>
      <w:r>
        <w:rPr>
          <w:rFonts w:hint="eastAsia"/>
          <w:lang w:eastAsia="zh-CN"/>
        </w:rPr>
        <w:t>）</w:t>
      </w:r>
      <w:r>
        <w:t>退役未满一年考入高校的退役士兵学生；</w:t>
      </w:r>
    </w:p>
    <w:p w14:paraId="052FE033">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rPr>
          <w:rFonts w:hint="eastAsia"/>
          <w:lang w:eastAsia="zh-CN"/>
        </w:rPr>
        <w:t>（</w:t>
      </w:r>
      <w:r>
        <w:rPr>
          <w:rFonts w:hint="eastAsia"/>
          <w:lang w:val="en-US" w:eastAsia="zh-CN"/>
        </w:rPr>
        <w:t>二</w:t>
      </w:r>
      <w:r>
        <w:rPr>
          <w:rFonts w:hint="eastAsia"/>
          <w:lang w:eastAsia="zh-CN"/>
        </w:rPr>
        <w:t>）</w:t>
      </w:r>
      <w:r>
        <w:t>在校期间已通过其他方式免除全部学费的；</w:t>
      </w:r>
    </w:p>
    <w:p w14:paraId="42CB6305">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bookmarkStart w:id="21" w:name="_Toc27130"/>
      <w:bookmarkStart w:id="22" w:name="_Toc6420"/>
      <w:bookmarkStart w:id="23" w:name="_Toc1217"/>
      <w:r>
        <w:rPr>
          <w:rFonts w:hint="eastAsia"/>
          <w:lang w:eastAsia="zh-CN"/>
        </w:rPr>
        <w:t>（</w:t>
      </w:r>
      <w:r>
        <w:rPr>
          <w:rFonts w:hint="eastAsia"/>
          <w:lang w:val="en-US" w:eastAsia="zh-CN"/>
        </w:rPr>
        <w:t>三</w:t>
      </w:r>
      <w:r>
        <w:rPr>
          <w:rFonts w:hint="eastAsia"/>
          <w:lang w:eastAsia="zh-CN"/>
        </w:rPr>
        <w:t>）</w:t>
      </w:r>
      <w:r>
        <w:rPr>
          <w:rFonts w:hint="eastAsia"/>
          <w:lang w:val="en-US" w:eastAsia="zh-CN"/>
        </w:rPr>
        <w:t>九</w:t>
      </w:r>
      <w:r>
        <w:t>月份退役并于当年</w:t>
      </w:r>
      <w:r>
        <w:rPr>
          <w:rFonts w:hint="eastAsia"/>
          <w:lang w:val="en-US" w:eastAsia="zh-CN"/>
        </w:rPr>
        <w:t>九</w:t>
      </w:r>
      <w:r>
        <w:t>月份入学的退役士兵新生；</w:t>
      </w:r>
      <w:bookmarkEnd w:id="21"/>
      <w:bookmarkEnd w:id="22"/>
      <w:bookmarkEnd w:id="23"/>
    </w:p>
    <w:p w14:paraId="2F63A46E">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rPr>
          <w:rFonts w:hint="eastAsia"/>
          <w:lang w:eastAsia="zh-CN"/>
        </w:rPr>
        <w:t>（</w:t>
      </w:r>
      <w:r>
        <w:rPr>
          <w:rFonts w:hint="eastAsia"/>
          <w:lang w:val="en-US" w:eastAsia="zh-CN"/>
        </w:rPr>
        <w:t>四</w:t>
      </w:r>
      <w:r>
        <w:rPr>
          <w:rFonts w:hint="eastAsia"/>
          <w:lang w:eastAsia="zh-CN"/>
        </w:rPr>
        <w:t>）</w:t>
      </w:r>
      <w:r>
        <w:t>非自主就业退役士兵学生；</w:t>
      </w:r>
    </w:p>
    <w:p w14:paraId="0D15A8A6">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rPr>
          <w:rFonts w:hint="eastAsia"/>
          <w:lang w:eastAsia="zh-CN"/>
        </w:rPr>
        <w:t>（</w:t>
      </w:r>
      <w:r>
        <w:rPr>
          <w:rFonts w:hint="eastAsia"/>
          <w:lang w:val="en-US" w:eastAsia="zh-CN"/>
        </w:rPr>
        <w:t>五</w:t>
      </w:r>
      <w:r>
        <w:rPr>
          <w:rFonts w:hint="eastAsia"/>
          <w:lang w:eastAsia="zh-CN"/>
        </w:rPr>
        <w:t>）</w:t>
      </w:r>
      <w:r>
        <w:t>享受过应征入伍服兵役学费补偿贷款代偿政策；</w:t>
      </w:r>
    </w:p>
    <w:p w14:paraId="7BC3A30C">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rPr>
          <w:rFonts w:eastAsia="宋体"/>
        </w:rPr>
      </w:pPr>
      <w:r>
        <w:rPr>
          <w:rFonts w:hint="eastAsia"/>
          <w:lang w:eastAsia="zh-CN"/>
        </w:rPr>
        <w:t>（</w:t>
      </w:r>
      <w:r>
        <w:rPr>
          <w:rFonts w:hint="eastAsia"/>
          <w:lang w:val="en-US" w:eastAsia="zh-CN"/>
        </w:rPr>
        <w:t>六</w:t>
      </w:r>
      <w:r>
        <w:rPr>
          <w:rFonts w:hint="eastAsia"/>
          <w:lang w:eastAsia="zh-CN"/>
        </w:rPr>
        <w:t>）</w:t>
      </w:r>
      <w:r>
        <w:rPr>
          <w:rFonts w:eastAsia="宋体"/>
        </w:rPr>
        <w:t>已享受过广东省经济欠发达地区退役士兵教育资助的学生；</w:t>
      </w:r>
    </w:p>
    <w:p w14:paraId="51C66B8A">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rPr>
          <w:rFonts w:hint="eastAsia"/>
          <w:lang w:eastAsia="zh-CN"/>
        </w:rPr>
        <w:t>（</w:t>
      </w:r>
      <w:r>
        <w:rPr>
          <w:rFonts w:hint="eastAsia"/>
          <w:lang w:val="en-US" w:eastAsia="zh-CN"/>
        </w:rPr>
        <w:t>七</w:t>
      </w:r>
      <w:r>
        <w:rPr>
          <w:rFonts w:hint="eastAsia"/>
          <w:lang w:eastAsia="zh-CN"/>
        </w:rPr>
        <w:t>）</w:t>
      </w:r>
      <w:r>
        <w:t>以前学历阶段享受过退役士兵教育学费资助政策的学生。</w:t>
      </w:r>
    </w:p>
    <w:p w14:paraId="5DACB0BD">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t>第七条  退役士兵教育资助标准为：按省级人民政府制定的学费标准，原则上退役士兵学生应交多少学费中央财政就资助多少，最高不超过年人均</w:t>
      </w:r>
      <w:r>
        <w:rPr>
          <w:rFonts w:hint="eastAsia"/>
          <w:lang w:val="en-US" w:eastAsia="zh-CN"/>
        </w:rPr>
        <w:t>20</w:t>
      </w:r>
      <w:r>
        <w:t>000元，高于</w:t>
      </w:r>
      <w:r>
        <w:rPr>
          <w:rFonts w:hint="eastAsia"/>
          <w:lang w:val="en-US" w:eastAsia="zh-CN"/>
        </w:rPr>
        <w:t>20</w:t>
      </w:r>
      <w:r>
        <w:t>000元部分自行负担。生活费及其他奖助学金资助标准，按国家现行高校学生资助政策的有关规定执行。</w:t>
      </w:r>
    </w:p>
    <w:p w14:paraId="0E772D9D">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t>根据教育部的要求，符合条件的退役士兵入学学生可以补申请前一年的学费减免，如当年符合条件未及时申请资助退役士兵学生务必于下一年申请相关资助。</w:t>
      </w:r>
    </w:p>
    <w:p w14:paraId="5CB04CD1">
      <w:pPr>
        <w:pStyle w:val="3"/>
        <w:keepNext/>
        <w:keepLines/>
        <w:pageBreakBefore w:val="0"/>
        <w:widowControl w:val="0"/>
        <w:kinsoku/>
        <w:wordWrap/>
        <w:overflowPunct/>
        <w:topLinePunct w:val="0"/>
        <w:autoSpaceDE/>
        <w:autoSpaceDN/>
        <w:bidi w:val="0"/>
        <w:adjustRightInd/>
        <w:snapToGrid/>
        <w:spacing w:line="560" w:lineRule="exact"/>
        <w:ind w:firstLine="2570" w:firstLineChars="800"/>
        <w:jc w:val="both"/>
        <w:textAlignment w:val="auto"/>
        <w:rPr>
          <w:rFonts w:hint="eastAsia" w:ascii="Times New Roman" w:hAnsi="Times New Roman" w:eastAsia="宋体" w:cs="Times New Roman"/>
          <w:lang w:val="en-US" w:eastAsia="zh-CN"/>
        </w:rPr>
      </w:pPr>
      <w:bookmarkStart w:id="24" w:name="_Toc28998"/>
      <w:bookmarkStart w:id="25" w:name="_Toc29168"/>
      <w:bookmarkStart w:id="26" w:name="_Toc17052"/>
      <w:bookmarkStart w:id="27" w:name="_Toc708"/>
      <w:r>
        <w:rPr>
          <w:rFonts w:hint="eastAsia" w:ascii="Times New Roman" w:hAnsi="Times New Roman" w:eastAsia="宋体" w:cs="Times New Roman"/>
          <w:lang w:val="en-US" w:eastAsia="zh-CN"/>
        </w:rPr>
        <w:t>第三章 资助的内容、方式和期限</w:t>
      </w:r>
      <w:bookmarkEnd w:id="24"/>
      <w:bookmarkEnd w:id="25"/>
      <w:bookmarkEnd w:id="26"/>
      <w:bookmarkEnd w:id="27"/>
    </w:p>
    <w:p w14:paraId="4E36C4D6">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bookmarkStart w:id="28" w:name="_Toc27982"/>
      <w:bookmarkStart w:id="29" w:name="_Toc1473"/>
      <w:bookmarkStart w:id="30" w:name="_Toc19622"/>
      <w:r>
        <w:t>第八条  退役士兵教育资助内容为：</w:t>
      </w:r>
      <w:bookmarkEnd w:id="28"/>
      <w:bookmarkEnd w:id="29"/>
      <w:bookmarkEnd w:id="30"/>
    </w:p>
    <w:p w14:paraId="10F39DDF">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t>（一）学费资助；</w:t>
      </w:r>
    </w:p>
    <w:p w14:paraId="116F0B72">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t>（二）家庭经济困难退役士兵学生生活费资助；</w:t>
      </w:r>
    </w:p>
    <w:p w14:paraId="63A1CF44">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t>（三）其他奖助学金资助。</w:t>
      </w:r>
    </w:p>
    <w:p w14:paraId="26B8298B">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t>目前，该项政策的执行中高校主要涉及的为学费资助，其他两项资助内容均按国家现行高校学生资助政策规定执行。</w:t>
      </w:r>
    </w:p>
    <w:p w14:paraId="6796AC12">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t>第九条  退役士兵教育资助方式为：学费由中央财政按标准拨至学校，由学校划拨入学生指定的本人账户；生活费及其他奖助学金直接补给退役士兵学生本人。</w:t>
      </w:r>
    </w:p>
    <w:p w14:paraId="39741232">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bookmarkStart w:id="31" w:name="_Toc23307"/>
      <w:bookmarkStart w:id="32" w:name="_Toc7397"/>
      <w:bookmarkStart w:id="33" w:name="_Toc28072"/>
      <w:r>
        <w:t>第十条  退役士兵教育资助期限：全日制普通高等学历教育</w:t>
      </w:r>
      <w:bookmarkEnd w:id="31"/>
      <w:bookmarkEnd w:id="32"/>
      <w:bookmarkEnd w:id="33"/>
      <w:r>
        <w:t>一个学制期。</w:t>
      </w:r>
    </w:p>
    <w:p w14:paraId="10565B02">
      <w:pPr>
        <w:pStyle w:val="3"/>
        <w:keepNext/>
        <w:keepLines/>
        <w:pageBreakBefore w:val="0"/>
        <w:widowControl w:val="0"/>
        <w:kinsoku/>
        <w:wordWrap/>
        <w:overflowPunct/>
        <w:topLinePunct w:val="0"/>
        <w:autoSpaceDE/>
        <w:autoSpaceDN/>
        <w:bidi w:val="0"/>
        <w:adjustRightInd/>
        <w:snapToGrid/>
        <w:spacing w:line="560" w:lineRule="exact"/>
        <w:ind w:firstLine="3534" w:firstLineChars="1100"/>
        <w:jc w:val="both"/>
        <w:textAlignment w:val="auto"/>
        <w:rPr>
          <w:rFonts w:hint="eastAsia" w:ascii="Times New Roman" w:hAnsi="Times New Roman" w:eastAsia="宋体" w:cs="Times New Roman"/>
          <w:lang w:val="en-US" w:eastAsia="zh-CN"/>
        </w:rPr>
      </w:pPr>
      <w:bookmarkStart w:id="34" w:name="_Toc9517"/>
      <w:bookmarkStart w:id="35" w:name="_Toc22208"/>
      <w:bookmarkStart w:id="36" w:name="_Toc12124"/>
      <w:bookmarkStart w:id="37" w:name="_Toc28522"/>
      <w:r>
        <w:rPr>
          <w:rFonts w:hint="eastAsia" w:ascii="Times New Roman" w:hAnsi="Times New Roman" w:eastAsia="宋体" w:cs="Times New Roman"/>
          <w:lang w:val="en-US" w:eastAsia="zh-CN"/>
        </w:rPr>
        <w:t>第四章 申请流程</w:t>
      </w:r>
      <w:bookmarkEnd w:id="34"/>
      <w:bookmarkEnd w:id="35"/>
      <w:bookmarkEnd w:id="36"/>
      <w:bookmarkEnd w:id="37"/>
    </w:p>
    <w:p w14:paraId="5FC71B06">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t>第十一条  退役士兵全日制教育资助政策按照自愿申请原则， 由学生本人向所在高校的学生资助部门提出申请，学费资助需按  照学年进行申请，每年审批发放当年学费。其他教育资助措施按照现行资助政策规定执行。</w:t>
      </w:r>
    </w:p>
    <w:p w14:paraId="6BE7EBD8">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t>凡符合要求的学生应在开学后10个工作日内以书面形式提出申请， 由学生本人如实填写《应征入伍服兵役高等学院学生国家教育资助申请表Ⅱ》（一式两份），并递交《中国人民解放军义务兵退出现役证》复印件（一式一份）。学生只需向学校提交一次申请表和证明材料，由学校分年度上报申请学费减免资金。</w:t>
      </w:r>
    </w:p>
    <w:p w14:paraId="78AD6BEC">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t>第十二条  学生资助管理中心收到退役士兵学生资料后，须对学生资格、条件进行严格审查，并将审核通过的退役士兵学生名单在校内进行不少于3个工作日的公示。公示无异议后，由学生资助管理中心汇总上报全国学生资助管理中心。</w:t>
      </w:r>
    </w:p>
    <w:p w14:paraId="1746F738">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bookmarkStart w:id="38" w:name="_Toc8760"/>
      <w:bookmarkStart w:id="39" w:name="_Toc1596"/>
      <w:bookmarkStart w:id="40" w:name="_Toc5438"/>
      <w:r>
        <w:t>第十三条  全国学生资助管理中心对申报信息进行审核汇总</w:t>
      </w:r>
      <w:bookmarkEnd w:id="38"/>
      <w:bookmarkEnd w:id="39"/>
      <w:bookmarkEnd w:id="40"/>
      <w:r>
        <w:t>后，在20个工作日内上报财政部。</w:t>
      </w:r>
    </w:p>
    <w:p w14:paraId="39429601">
      <w:pPr>
        <w:pStyle w:val="3"/>
        <w:keepNext/>
        <w:keepLines/>
        <w:pageBreakBefore w:val="0"/>
        <w:widowControl w:val="0"/>
        <w:kinsoku/>
        <w:wordWrap/>
        <w:overflowPunct/>
        <w:topLinePunct w:val="0"/>
        <w:autoSpaceDE/>
        <w:autoSpaceDN/>
        <w:bidi w:val="0"/>
        <w:adjustRightInd/>
        <w:snapToGrid/>
        <w:spacing w:line="560" w:lineRule="exact"/>
        <w:ind w:firstLine="2570" w:firstLineChars="800"/>
        <w:jc w:val="both"/>
        <w:textAlignment w:val="auto"/>
        <w:rPr>
          <w:rFonts w:hint="eastAsia" w:ascii="Times New Roman" w:hAnsi="Times New Roman" w:eastAsia="宋体" w:cs="Times New Roman"/>
          <w:lang w:val="en-US" w:eastAsia="zh-CN"/>
        </w:rPr>
      </w:pPr>
      <w:bookmarkStart w:id="41" w:name="_Toc17810"/>
      <w:bookmarkStart w:id="42" w:name="_Toc22055"/>
      <w:bookmarkStart w:id="43" w:name="_Toc11379"/>
      <w:bookmarkStart w:id="44" w:name="_Toc31696"/>
      <w:r>
        <w:rPr>
          <w:rFonts w:hint="eastAsia" w:ascii="Times New Roman" w:hAnsi="Times New Roman" w:eastAsia="宋体" w:cs="Times New Roman"/>
          <w:lang w:val="en-US" w:eastAsia="zh-CN"/>
        </w:rPr>
        <w:t>第五章 资金发放及资金管理</w:t>
      </w:r>
      <w:bookmarkEnd w:id="41"/>
      <w:bookmarkEnd w:id="42"/>
      <w:bookmarkEnd w:id="43"/>
      <w:bookmarkEnd w:id="44"/>
    </w:p>
    <w:p w14:paraId="2190637C">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bookmarkStart w:id="45" w:name="_Toc3742"/>
      <w:bookmarkStart w:id="46" w:name="_Toc32106"/>
      <w:bookmarkStart w:id="47" w:name="_Toc8496"/>
      <w:r>
        <w:t>第十四条  财政部会同全国学生资助管理中心对上报数据进</w:t>
      </w:r>
      <w:bookmarkEnd w:id="45"/>
      <w:bookmarkEnd w:id="46"/>
      <w:bookmarkEnd w:id="47"/>
      <w:r>
        <w:t>行审核后，将资助资金下拨到学校。</w:t>
      </w:r>
    </w:p>
    <w:p w14:paraId="6B5D06B4">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bookmarkStart w:id="48" w:name="_Toc17996"/>
      <w:bookmarkStart w:id="49" w:name="_Toc26622"/>
      <w:bookmarkStart w:id="50" w:name="_Toc5821"/>
      <w:r>
        <w:t>第十五条  学校财务部门在中央财政资金到位后及时将资助</w:t>
      </w:r>
      <w:bookmarkEnd w:id="48"/>
      <w:bookmarkEnd w:id="49"/>
      <w:bookmarkEnd w:id="50"/>
      <w:r>
        <w:t>资金拨入退役士兵学生指定的本人账户。</w:t>
      </w:r>
    </w:p>
    <w:p w14:paraId="5F64716C">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t>第十六条  退役士兵教育资助项目资金的使用应当严格执行国家有关法律、法规和财务规章制度，确保专款专用。任何人、任何部门都不得截留、挤占、挪用、抵扣、拖延支付。</w:t>
      </w:r>
    </w:p>
    <w:p w14:paraId="1212EE16">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t>第十七条  资金落实到位后，要针对退役士兵学生的特点，改进和创新教育教学管理方式，保证退役士兵学生较好地融入大学生活，接受高质量的教育。</w:t>
      </w:r>
    </w:p>
    <w:p w14:paraId="67FEF019">
      <w:pPr>
        <w:pStyle w:val="3"/>
        <w:keepNext/>
        <w:keepLines/>
        <w:pageBreakBefore w:val="0"/>
        <w:widowControl w:val="0"/>
        <w:kinsoku/>
        <w:wordWrap/>
        <w:overflowPunct/>
        <w:topLinePunct w:val="0"/>
        <w:autoSpaceDE/>
        <w:autoSpaceDN/>
        <w:bidi w:val="0"/>
        <w:adjustRightInd/>
        <w:snapToGrid/>
        <w:spacing w:line="560" w:lineRule="exact"/>
        <w:ind w:firstLine="3213" w:firstLineChars="1000"/>
        <w:jc w:val="both"/>
        <w:textAlignment w:val="auto"/>
        <w:rPr>
          <w:rFonts w:hint="eastAsia" w:ascii="Times New Roman" w:hAnsi="Times New Roman" w:eastAsia="宋体" w:cs="Times New Roman"/>
          <w:lang w:val="en-US" w:eastAsia="zh-CN"/>
        </w:rPr>
      </w:pPr>
      <w:bookmarkStart w:id="51" w:name="_Toc27365"/>
      <w:bookmarkStart w:id="52" w:name="_Toc25734"/>
      <w:bookmarkStart w:id="53" w:name="_Toc26698"/>
      <w:bookmarkStart w:id="54" w:name="_Toc7918"/>
      <w:r>
        <w:rPr>
          <w:rFonts w:hint="eastAsia" w:ascii="Times New Roman" w:hAnsi="Times New Roman" w:eastAsia="宋体" w:cs="Times New Roman"/>
          <w:lang w:val="en-US" w:eastAsia="zh-CN"/>
        </w:rPr>
        <w:t>第六章 监督检查</w:t>
      </w:r>
      <w:bookmarkEnd w:id="51"/>
      <w:bookmarkEnd w:id="52"/>
      <w:bookmarkEnd w:id="53"/>
      <w:bookmarkEnd w:id="54"/>
    </w:p>
    <w:p w14:paraId="53C61D33">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t>第十八条  国家财政、审计、纪检监察、全国学生资助管理中心将对退役士兵教育资助项目的执行和落实情况进行监督与检查。监督检查的重点内容为：</w:t>
      </w:r>
    </w:p>
    <w:p w14:paraId="1EC86E9C">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bookmarkStart w:id="55" w:name="_Toc14694"/>
      <w:bookmarkStart w:id="56" w:name="_Toc24413"/>
      <w:bookmarkStart w:id="57" w:name="_Toc17391"/>
      <w:r>
        <w:t>（一）学生资助管理中心是否建立专帐管理项目资金，是否专</w:t>
      </w:r>
      <w:bookmarkEnd w:id="55"/>
      <w:bookmarkEnd w:id="56"/>
      <w:bookmarkEnd w:id="57"/>
      <w:r>
        <w:t>款专用，是否有截留、挤占、挪用、抵扣、拖延支付等情况；</w:t>
      </w:r>
    </w:p>
    <w:p w14:paraId="25DF6B05">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bookmarkStart w:id="58" w:name="_Toc8952"/>
      <w:bookmarkStart w:id="59" w:name="_Toc7566"/>
      <w:bookmarkStart w:id="60" w:name="_Toc19279"/>
      <w:r>
        <w:t>（二）学生资助管理中心是否将资助款及时发放退役士兵学</w:t>
      </w:r>
      <w:bookmarkEnd w:id="58"/>
      <w:bookmarkEnd w:id="59"/>
      <w:bookmarkEnd w:id="60"/>
      <w:r>
        <w:t>生本人；</w:t>
      </w:r>
    </w:p>
    <w:p w14:paraId="7D25D37A">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bookmarkStart w:id="61" w:name="_Toc22949"/>
      <w:bookmarkStart w:id="62" w:name="_Toc5748"/>
      <w:bookmarkStart w:id="63" w:name="_Toc13425"/>
      <w:r>
        <w:t>（三）学生资助管理中心具体操作程序和资金使用情况是否</w:t>
      </w:r>
      <w:bookmarkEnd w:id="61"/>
      <w:bookmarkEnd w:id="62"/>
      <w:bookmarkEnd w:id="63"/>
      <w:r>
        <w:t>符和要求，学生档案是否建立和健全。</w:t>
      </w:r>
    </w:p>
    <w:p w14:paraId="64FF39F0">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bookmarkStart w:id="64" w:name="_Toc16549"/>
      <w:r>
        <w:t>第十九条  对于弄虚作假套取财政资金等违法行为，按国家</w:t>
      </w:r>
      <w:bookmarkEnd w:id="64"/>
      <w:r>
        <w:t>有关规定，严肃查处，充分发挥资金的使用效益。</w:t>
      </w:r>
    </w:p>
    <w:p w14:paraId="52277412">
      <w:pPr>
        <w:pStyle w:val="3"/>
        <w:keepNext/>
        <w:keepLines/>
        <w:pageBreakBefore w:val="0"/>
        <w:widowControl w:val="0"/>
        <w:kinsoku/>
        <w:wordWrap/>
        <w:overflowPunct/>
        <w:topLinePunct w:val="0"/>
        <w:autoSpaceDE/>
        <w:autoSpaceDN/>
        <w:bidi w:val="0"/>
        <w:adjustRightInd/>
        <w:snapToGrid/>
        <w:spacing w:line="560" w:lineRule="exact"/>
        <w:ind w:firstLine="3213" w:firstLineChars="1000"/>
        <w:jc w:val="both"/>
        <w:textAlignment w:val="auto"/>
        <w:rPr>
          <w:rFonts w:hint="eastAsia" w:ascii="Times New Roman" w:hAnsi="Times New Roman" w:eastAsia="宋体" w:cs="Times New Roman"/>
          <w:lang w:val="en-US" w:eastAsia="zh-CN"/>
        </w:rPr>
      </w:pPr>
      <w:bookmarkStart w:id="65" w:name="_Toc8872"/>
      <w:bookmarkStart w:id="66" w:name="_Toc20704"/>
      <w:bookmarkStart w:id="67" w:name="_Toc20283"/>
      <w:bookmarkStart w:id="68" w:name="_Toc16534"/>
      <w:r>
        <w:rPr>
          <w:rFonts w:hint="eastAsia" w:ascii="Times New Roman" w:hAnsi="Times New Roman" w:eastAsia="宋体" w:cs="Times New Roman"/>
          <w:lang w:val="en-US" w:eastAsia="zh-CN"/>
        </w:rPr>
        <w:t>第七章 附   则</w:t>
      </w:r>
      <w:bookmarkEnd w:id="65"/>
      <w:bookmarkEnd w:id="66"/>
      <w:bookmarkEnd w:id="67"/>
      <w:bookmarkEnd w:id="68"/>
    </w:p>
    <w:p w14:paraId="5E560380">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t>第二十条  本办法自公布之日起施行。</w:t>
      </w:r>
    </w:p>
    <w:p w14:paraId="52277970">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t>第二十一条  本办法由学生工作处负责解释。</w:t>
      </w:r>
    </w:p>
    <w:p w14:paraId="0766C380">
      <w:pPr>
        <w:numPr>
          <w:ilvl w:val="0"/>
          <w:numId w:val="0"/>
        </w:numPr>
        <w:spacing w:before="101" w:line="227" w:lineRule="auto"/>
        <w:rPr>
          <w:rFonts w:ascii="黑体" w:hAnsi="黑体" w:eastAsia="黑体" w:cs="黑体"/>
          <w:spacing w:val="1"/>
          <w:sz w:val="31"/>
          <w:szCs w:val="31"/>
        </w:rPr>
      </w:pPr>
    </w:p>
    <w:sectPr>
      <w:footerReference r:id="rId5" w:type="default"/>
      <w:type w:val="continuous"/>
      <w:pgSz w:w="11907" w:h="16841"/>
      <w:pgMar w:top="1431" w:right="1250" w:bottom="1682" w:left="1120" w:header="0" w:footer="1412" w:gutter="0"/>
      <w:cols w:equalWidth="0" w:num="1">
        <w:col w:w="9536"/>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F4F5D">
    <w:pPr>
      <w:pStyle w:val="4"/>
      <w:spacing w:before="1" w:line="171" w:lineRule="auto"/>
      <w:ind w:left="219"/>
      <w:rPr>
        <w:sz w:val="28"/>
        <w:szCs w:val="28"/>
      </w:rPr>
    </w:pPr>
    <w:r>
      <w:rPr>
        <w:spacing w:val="-7"/>
        <w:sz w:val="28"/>
        <w:szCs w:val="28"/>
      </w:rPr>
      <w:t>—</w:t>
    </w:r>
    <w:r>
      <w:rPr>
        <w:spacing w:val="11"/>
        <w:sz w:val="28"/>
        <w:szCs w:val="28"/>
      </w:rPr>
      <w:t xml:space="preserve"> </w:t>
    </w:r>
    <w:r>
      <w:rPr>
        <w:rFonts w:ascii="Times New Roman" w:hAnsi="Times New Roman" w:eastAsia="Times New Roman" w:cs="Times New Roman"/>
        <w:spacing w:val="-7"/>
        <w:sz w:val="28"/>
        <w:szCs w:val="28"/>
      </w:rPr>
      <w:t>9</w:t>
    </w:r>
    <w:r>
      <w:rPr>
        <w:rFonts w:ascii="Times New Roman" w:hAnsi="Times New Roman" w:eastAsia="Times New Roman" w:cs="Times New Roman"/>
        <w:spacing w:val="3"/>
        <w:sz w:val="28"/>
        <w:szCs w:val="28"/>
      </w:rPr>
      <w:t xml:space="preserve">  </w:t>
    </w:r>
    <w:r>
      <w:rPr>
        <w:spacing w:val="-7"/>
        <w:sz w:val="28"/>
        <w:szCs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MDFlMDkzMWQ2YjQ3MGQ1ZTE3YjI0YjVlNTM0YTYwMzIifQ=="/>
  </w:docVars>
  <w:rsids>
    <w:rsidRoot w:val="00000000"/>
    <w:rsid w:val="056B0CD4"/>
    <w:rsid w:val="05B20477"/>
    <w:rsid w:val="262921D8"/>
    <w:rsid w:val="2FE15E6F"/>
    <w:rsid w:val="55C87DA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jc w:val="center"/>
      <w:outlineLvl w:val="0"/>
    </w:pPr>
    <w:rPr>
      <w:rFonts w:ascii="Calibri" w:hAnsi="Calibri" w:eastAsia="宋体" w:cs="Times New Roman"/>
      <w:b/>
      <w:bCs/>
      <w:color w:val="000000"/>
      <w:kern w:val="44"/>
      <w:sz w:val="44"/>
    </w:rPr>
  </w:style>
  <w:style w:type="paragraph" w:styleId="3">
    <w:name w:val="heading 3"/>
    <w:basedOn w:val="1"/>
    <w:next w:val="1"/>
    <w:qFormat/>
    <w:uiPriority w:val="0"/>
    <w:pPr>
      <w:keepNext/>
      <w:keepLines/>
      <w:spacing w:before="260" w:beforeLines="0" w:beforeAutospacing="0" w:after="260" w:afterLines="0" w:afterAutospacing="0" w:line="413" w:lineRule="auto"/>
      <w:jc w:val="center"/>
      <w:outlineLvl w:val="2"/>
    </w:pPr>
    <w:rPr>
      <w:rFonts w:ascii="Times New Roman" w:hAnsi="Times New Roman" w:eastAsia="宋体"/>
      <w:b/>
      <w:sz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semiHidden/>
    <w:qFormat/>
    <w:uiPriority w:val="0"/>
    <w:rPr>
      <w:rFonts w:ascii="仿宋" w:hAnsi="仿宋" w:eastAsia="仿宋" w:cs="仿宋"/>
      <w:sz w:val="31"/>
      <w:szCs w:val="31"/>
      <w:lang w:val="en-US" w:eastAsia="en-US"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碧正文"/>
    <w:basedOn w:val="1"/>
    <w:qFormat/>
    <w:uiPriority w:val="0"/>
    <w:pPr>
      <w:widowControl/>
      <w:spacing w:beforeAutospacing="1" w:afterAutospacing="1" w:line="480" w:lineRule="exact"/>
      <w:ind w:firstLine="480" w:firstLineChars="200"/>
      <w:jc w:val="left"/>
    </w:pPr>
    <w:rPr>
      <w:rFonts w:hint="eastAsia" w:ascii="宋体" w:hAnsi="宋体" w:cs="宋体"/>
      <w:bCs/>
      <w:color w:val="000000"/>
      <w:kern w:val="0"/>
      <w:sz w:val="28"/>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730</Words>
  <Characters>734</Characters>
  <TotalTime>0</TotalTime>
  <ScaleCrop>false</ScaleCrop>
  <LinksUpToDate>false</LinksUpToDate>
  <CharactersWithSpaces>746</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2021-09-18T17:20:00Z</dcterms:created>
  <dc:creator>xb21cn</dc:creator>
  <cp:lastModifiedBy> Superman</cp:lastModifiedBy>
  <dcterms:modified xsi:type="dcterms:W3CDTF">2026-11-04T02:05:00Z</dcterms:modified>
  <dc:title>广东碧桂园职业学院文件</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2023-11-08T10:14:12Z</vt:filetime>
  </property>
  <property fmtid="{D5CDD505-2E9C-101B-9397-08002B2CF9AE}" pid="4" name="KSOProductBuildVer">
    <vt:lpwstr>2052-12.1.0.29161</vt:lpwstr>
  </property>
  <property fmtid="{D5CDD505-2E9C-101B-9397-08002B2CF9AE}" pid="5" name="ICV">
    <vt:lpwstr>BB370E4EBE3F4B0EAF88BEFC6C505662_13</vt:lpwstr>
  </property>
  <property fmtid="{D5CDD505-2E9C-101B-9397-08002B2CF9AE}" pid="6" name="KSOTemplateDocerSaveRecord">
    <vt:lpwstr>eyJoZGlkIjoiZDYxZmVmMDhhOTFlMjEyNmQ1ODU0YTQwZjBhMGQ0MmYiLCJ1c2VySWQiOiIyMDg3MDUyNzgifQ==</vt:lpwstr>
  </property>
</Properties>
</file>